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 </w:t>
      </w:r>
    </w:p>
    <w:p>
      <w:pPr>
        <w:spacing w:before="0" w:after="300"/>
      </w:pPr>
      <w:r>
        <w:rPr>
          <w:rFonts w:ascii="calibri" w:hAnsi="calibri" w:eastAsia="calibri" w:cs="calibri"/>
          <w:sz w:val="24"/>
          <w:szCs w:val="24"/>
          <w:b/>
        </w:rPr>
        <w:t xml:space="preserve">Elektroniczna niania, inteligentna waga i nie tylko. Smart produkty TESLA można było zobaczyć na IFA 2023</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r>
        <w:rPr>
          <w:rFonts w:ascii="calibri" w:hAnsi="calibri" w:eastAsia="calibri" w:cs="calibri"/>
          <w:sz w:val="24"/>
          <w:szCs w:val="24"/>
          <w:b/>
        </w:rPr>
        <w:t xml:space="preserve">Smart produkty TESLA wśród najlepiej sprzedających się urządzeń z obsługą Tuya Smart</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2026-07-05T21:55:12+02:00</dcterms:created>
  <dcterms:modified xsi:type="dcterms:W3CDTF">2026-07-05T21:55:12+02:00</dcterms:modified>
</cp:coreProperties>
</file>

<file path=docProps/custom.xml><?xml version="1.0" encoding="utf-8"?>
<Properties xmlns="http://schemas.openxmlformats.org/officeDocument/2006/custom-properties" xmlns:vt="http://schemas.openxmlformats.org/officeDocument/2006/docPropsVTypes"/>
</file>